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5D" w:rsidRDefault="003D03CA">
      <w:pPr>
        <w:widowControl/>
        <w:shd w:val="clear" w:color="auto" w:fill="FFFFFF"/>
        <w:spacing w:line="360" w:lineRule="atLeast"/>
        <w:ind w:firstLine="480"/>
        <w:jc w:val="center"/>
        <w:rPr>
          <w:rFonts w:ascii="方正小标宋简体" w:eastAsia="方正小标宋简体" w:hAnsi="方正小标宋简体" w:cs="方正小标宋简体"/>
          <w:color w:val="333333"/>
          <w:kern w:val="0"/>
          <w:sz w:val="32"/>
          <w:szCs w:val="32"/>
        </w:rPr>
      </w:pPr>
      <w:r>
        <w:rPr>
          <w:rFonts w:ascii="方正小标宋简体" w:eastAsia="方正小标宋简体" w:hAnsi="方正小标宋简体" w:cs="方正小标宋简体" w:hint="eastAsia"/>
          <w:b/>
          <w:bCs/>
          <w:color w:val="333333"/>
          <w:kern w:val="0"/>
          <w:sz w:val="32"/>
          <w:szCs w:val="32"/>
        </w:rPr>
        <w:t>优化营商环境条例</w:t>
      </w:r>
    </w:p>
    <w:p w:rsidR="0028275D" w:rsidRDefault="003D03CA">
      <w:pPr>
        <w:widowControl/>
        <w:shd w:val="clear" w:color="auto" w:fill="FFFFFF"/>
        <w:spacing w:line="300" w:lineRule="atLeast"/>
        <w:jc w:val="left"/>
        <w:outlineLvl w:val="2"/>
        <w:rPr>
          <w:rFonts w:ascii="微软雅黑" w:eastAsia="微软雅黑" w:hAnsi="微软雅黑" w:cs="宋体"/>
          <w:kern w:val="0"/>
          <w:sz w:val="24"/>
          <w:szCs w:val="24"/>
        </w:rPr>
      </w:pPr>
      <w:bookmarkStart w:id="0" w:name="sub24135568_2_1"/>
      <w:bookmarkStart w:id="1" w:name="2_1"/>
      <w:bookmarkStart w:id="2" w:name="第一章_总_则"/>
      <w:bookmarkStart w:id="3" w:name="2-1"/>
      <w:bookmarkEnd w:id="0"/>
      <w:bookmarkEnd w:id="1"/>
      <w:bookmarkEnd w:id="2"/>
      <w:bookmarkEnd w:id="3"/>
      <w:r>
        <w:rPr>
          <w:rFonts w:ascii="微软雅黑" w:eastAsia="微软雅黑" w:hAnsi="微软雅黑" w:cs="宋体" w:hint="eastAsia"/>
          <w:kern w:val="0"/>
          <w:sz w:val="24"/>
          <w:szCs w:val="24"/>
        </w:rPr>
        <w:t>第一章</w:t>
      </w:r>
      <w:r>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总</w:t>
      </w:r>
      <w:r>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则</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第一条　为了持续优化营商环境，不断解放和发展社会生产力，加快建设现代化经济体系，推动高质量发展，制定本条例。</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第二条　本条例所称营商环境，是指企业等市场主体在市场经济活动中所涉及的体制机制性因素和条件。</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第三条　国家持续深化简政放权、放管结合、优化服务改革，</w:t>
      </w:r>
      <w:r w:rsidRPr="00133EDE">
        <w:rPr>
          <w:rFonts w:ascii="Arial" w:eastAsia="宋体" w:hAnsi="Arial" w:cs="Arial"/>
          <w:bCs/>
          <w:kern w:val="0"/>
          <w:sz w:val="24"/>
          <w:szCs w:val="24"/>
        </w:rPr>
        <w:t>最大限度减少</w:t>
      </w:r>
      <w:r w:rsidRPr="00133EDE">
        <w:rPr>
          <w:rFonts w:ascii="Arial" w:eastAsia="宋体" w:hAnsi="Arial" w:cs="Arial"/>
          <w:kern w:val="0"/>
          <w:sz w:val="24"/>
          <w:szCs w:val="24"/>
        </w:rPr>
        <w:t>政府对市场资源的直接配置，</w:t>
      </w:r>
      <w:r w:rsidRPr="00133EDE">
        <w:rPr>
          <w:rFonts w:ascii="Arial" w:eastAsia="宋体" w:hAnsi="Arial" w:cs="Arial"/>
          <w:bCs/>
          <w:kern w:val="0"/>
          <w:sz w:val="24"/>
          <w:szCs w:val="24"/>
        </w:rPr>
        <w:t>最大限度减少</w:t>
      </w:r>
      <w:r w:rsidRPr="00133EDE">
        <w:rPr>
          <w:rFonts w:ascii="Arial" w:eastAsia="宋体" w:hAnsi="Arial" w:cs="Arial"/>
          <w:kern w:val="0"/>
          <w:sz w:val="24"/>
          <w:szCs w:val="24"/>
        </w:rPr>
        <w:t>政府对市场</w:t>
      </w:r>
      <w:r>
        <w:rPr>
          <w:rFonts w:ascii="Arial" w:eastAsia="宋体" w:hAnsi="Arial" w:cs="Arial"/>
          <w:kern w:val="0"/>
          <w:sz w:val="24"/>
          <w:szCs w:val="24"/>
        </w:rPr>
        <w:t>活动的直接干预，加强和规范事中事后监管，着力提升政务服务能力和水平，切实降低制度性交易成本，更大激发市场活力和社会创造力，增强发展动力。</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各级人民政府及其部门应当坚持政务公开透明，以公开为常态、不公开为例外，全面推进决策、执行、管理、服务、结果公开。</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第四条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第五条　国家加快建立统</w:t>
      </w:r>
      <w:r>
        <w:rPr>
          <w:rFonts w:ascii="Arial" w:eastAsia="宋体" w:hAnsi="Arial" w:cs="Arial"/>
          <w:kern w:val="0"/>
          <w:sz w:val="24"/>
          <w:szCs w:val="24"/>
        </w:rPr>
        <w:t>一开放、竞争有序的现代市场体系，依法促进各类生产要素自由流动，保障各类市场主体公平参与市场竞争。</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第六条　国家鼓励、支持、引导</w:t>
      </w:r>
      <w:hyperlink r:id="rId7" w:tgtFrame="_blank" w:history="1">
        <w:r>
          <w:rPr>
            <w:rFonts w:ascii="Arial" w:eastAsia="宋体" w:hAnsi="Arial" w:cs="Arial"/>
            <w:kern w:val="0"/>
            <w:sz w:val="24"/>
            <w:szCs w:val="24"/>
          </w:rPr>
          <w:t>非公有制经济</w:t>
        </w:r>
      </w:hyperlink>
      <w:r>
        <w:rPr>
          <w:rFonts w:ascii="Arial" w:eastAsia="宋体" w:hAnsi="Arial" w:cs="Arial"/>
          <w:kern w:val="0"/>
          <w:sz w:val="24"/>
          <w:szCs w:val="24"/>
        </w:rPr>
        <w:t>发展，激发非公有制经济活力和创造力。</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国家进一步扩大对外开放，积极促进外商投资，平等对待内资企业、外商投资企业等各类市场主体。</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第七条　各级人民政府应当加强对优化营商环境工作的组织领导，完善优化营商环境的政策措施，建立健全统筹推进、督促落实优化营商环境工作的相关机制，及时协调、解决优化营商环境工作中的重大问题。</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县级以上人民政府有关部门应当按照职责分工，做好优化营商环境的相关工作。县级以上地方人民政府根据实际情况，可以明确优化营商环境工作的主管部门。</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国家鼓励和支持各地区、各部门结合实际情况，在法治框架内积极探索原创性、差异化的优化营商环境具体措施；对探索中出现失误或者偏差，符合规定条件的，可以予以免责或者减轻责任。</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第八条　国家建</w:t>
      </w:r>
      <w:r>
        <w:rPr>
          <w:rFonts w:ascii="Arial" w:eastAsia="宋体" w:hAnsi="Arial" w:cs="Arial"/>
          <w:kern w:val="0"/>
          <w:sz w:val="24"/>
          <w:szCs w:val="24"/>
        </w:rPr>
        <w:t>立和完善以市场主体和社会</w:t>
      </w:r>
      <w:hyperlink r:id="rId8" w:tgtFrame="_blank" w:history="1">
        <w:r>
          <w:rPr>
            <w:rFonts w:ascii="Arial" w:eastAsia="宋体" w:hAnsi="Arial" w:cs="Arial"/>
            <w:kern w:val="0"/>
            <w:sz w:val="24"/>
            <w:szCs w:val="24"/>
          </w:rPr>
          <w:t>公众满意度</w:t>
        </w:r>
      </w:hyperlink>
      <w:r>
        <w:rPr>
          <w:rFonts w:ascii="Arial" w:eastAsia="宋体" w:hAnsi="Arial" w:cs="Arial"/>
          <w:kern w:val="0"/>
          <w:sz w:val="24"/>
          <w:szCs w:val="24"/>
        </w:rPr>
        <w:t>为导向的营商环境评价体系，发挥营商环境评价对优化营商环境的引领和督促作用。</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开展营商环境评价，不得影响各地区、各部门正常工作，不得影响市场主体正常生产经营活动或者增加市场主体负担。</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任何单位不得利用营商环境评价谋取利益。</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lastRenderedPageBreak/>
        <w:t>第九条　市场主体应当遵守法律法规，</w:t>
      </w:r>
      <w:r>
        <w:rPr>
          <w:rFonts w:ascii="Arial" w:eastAsia="宋体" w:hAnsi="Arial" w:cs="Arial"/>
          <w:kern w:val="0"/>
          <w:sz w:val="24"/>
          <w:szCs w:val="24"/>
        </w:rPr>
        <w:t>恪守社会公德和商业道德，诚实守信、公平竞争，履行安全、质量、劳动者权益保护、消费者权益保护等方面的法定义务，在国际经贸活动中遵循国际通行规则。</w:t>
      </w:r>
      <w:r>
        <w:rPr>
          <w:rFonts w:ascii="Arial" w:eastAsia="宋体" w:hAnsi="Arial" w:cs="Arial"/>
          <w:kern w:val="0"/>
          <w:sz w:val="24"/>
          <w:szCs w:val="24"/>
          <w:vertAlign w:val="superscript"/>
        </w:rPr>
        <w:t> [4]</w:t>
      </w:r>
      <w:r>
        <w:rPr>
          <w:rFonts w:ascii="Arial" w:eastAsia="宋体" w:hAnsi="Arial" w:cs="Arial"/>
          <w:kern w:val="0"/>
          <w:sz w:val="24"/>
          <w:szCs w:val="24"/>
        </w:rPr>
        <w:t> </w:t>
      </w:r>
    </w:p>
    <w:p w:rsidR="0028275D" w:rsidRDefault="003D03CA">
      <w:pPr>
        <w:widowControl/>
        <w:shd w:val="clear" w:color="auto" w:fill="FFFFFF"/>
        <w:spacing w:line="300" w:lineRule="atLeast"/>
        <w:jc w:val="left"/>
        <w:outlineLvl w:val="2"/>
        <w:rPr>
          <w:rFonts w:ascii="微软雅黑" w:eastAsia="微软雅黑" w:hAnsi="微软雅黑" w:cs="宋体"/>
          <w:kern w:val="0"/>
          <w:sz w:val="24"/>
          <w:szCs w:val="24"/>
        </w:rPr>
      </w:pPr>
      <w:bookmarkStart w:id="4" w:name="第二章_市场主体保护"/>
      <w:bookmarkStart w:id="5" w:name="2_2"/>
      <w:bookmarkStart w:id="6" w:name="sub24135568_2_2"/>
      <w:bookmarkStart w:id="7" w:name="2-2"/>
      <w:bookmarkEnd w:id="4"/>
      <w:bookmarkEnd w:id="5"/>
      <w:bookmarkEnd w:id="6"/>
      <w:bookmarkEnd w:id="7"/>
      <w:r>
        <w:rPr>
          <w:rFonts w:ascii="微软雅黑" w:eastAsia="微软雅黑" w:hAnsi="微软雅黑" w:cs="宋体" w:hint="eastAsia"/>
          <w:kern w:val="0"/>
          <w:sz w:val="24"/>
          <w:szCs w:val="24"/>
        </w:rPr>
        <w:t>第二章</w:t>
      </w:r>
      <w:r>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市场主体保护</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第十条　国家坚持权利平等、机会平等、规则平等，保障各种所有制经济平等受到法律保护。</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第十一条　市场主体依法享有</w:t>
      </w:r>
      <w:hyperlink r:id="rId9" w:tgtFrame="_blank" w:history="1">
        <w:r>
          <w:rPr>
            <w:rFonts w:ascii="Arial" w:eastAsia="宋体" w:hAnsi="Arial" w:cs="Arial"/>
            <w:kern w:val="0"/>
            <w:sz w:val="24"/>
            <w:szCs w:val="24"/>
          </w:rPr>
          <w:t>经营自主权</w:t>
        </w:r>
      </w:hyperlink>
      <w:r>
        <w:rPr>
          <w:rFonts w:ascii="Arial" w:eastAsia="宋体" w:hAnsi="Arial" w:cs="Arial"/>
          <w:kern w:val="0"/>
          <w:sz w:val="24"/>
          <w:szCs w:val="24"/>
        </w:rPr>
        <w:t>。对依法应当由市场主体自主决策的各类事项，任何单位和个人不得干预。</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第十二条　国家保障各类市场主体依法平等使用资金、技术、人力资源、土地使用权及其他自然资源等各类生产要素和公共服务资源。</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各类市场主体依法平等适用国家支持发展的政策。政府及其有关部门在政府资金安排、土地供应、税费减免、资质许可、标准制定、项目申报、职称评定、</w:t>
      </w:r>
      <w:hyperlink r:id="rId10" w:tgtFrame="_blank" w:history="1">
        <w:r>
          <w:rPr>
            <w:rFonts w:ascii="Arial" w:eastAsia="宋体" w:hAnsi="Arial" w:cs="Arial"/>
            <w:kern w:val="0"/>
            <w:sz w:val="24"/>
            <w:szCs w:val="24"/>
          </w:rPr>
          <w:t>人力资源政策</w:t>
        </w:r>
      </w:hyperlink>
      <w:r>
        <w:rPr>
          <w:rFonts w:ascii="Arial" w:eastAsia="宋体" w:hAnsi="Arial" w:cs="Arial"/>
          <w:kern w:val="0"/>
          <w:sz w:val="24"/>
          <w:szCs w:val="24"/>
        </w:rPr>
        <w:t>等方面，应当依法平等对待各类市场主体，不得制定或者实施歧视性政策措施。</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第十三条　招标投标和政府采购应当公开透明、公平公正，依法平等对待各类所有制和不同地区的市场主体，不得以不合理条件或者产品产地来源等进行限制或者排斥。</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政府有关部门应当加强招标投标和政府采购监管，依法纠正和查处违法违规行为。</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第十四条　国家依法保护市场主体的财产权和其他合法权益，保护企业经营者人身和财产安全。</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严禁违反法定权限、条件、程序对市场主体的财产和企业经营者个人财产</w:t>
      </w:r>
      <w:r>
        <w:rPr>
          <w:rFonts w:ascii="Arial" w:eastAsia="宋体" w:hAnsi="Arial" w:cs="Arial"/>
          <w:kern w:val="0"/>
          <w:sz w:val="24"/>
          <w:szCs w:val="24"/>
        </w:rPr>
        <w:t>实施查封、冻结和扣押等行政强制措施；依法确需实施前述行政强制措施的，应当限定在所必需的范围内。</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禁止在法律、法规规定之外要求市场主体提供财力、物力或者人力的摊派行为。市场主体有权拒绝任何形式的摊派。</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第十五条　国家建立知识产权侵权</w:t>
      </w:r>
      <w:hyperlink r:id="rId11" w:tgtFrame="_blank" w:history="1">
        <w:r>
          <w:rPr>
            <w:rFonts w:ascii="Arial" w:eastAsia="宋体" w:hAnsi="Arial" w:cs="Arial"/>
            <w:kern w:val="0"/>
            <w:sz w:val="24"/>
            <w:szCs w:val="24"/>
          </w:rPr>
          <w:t>惩罚性赔偿制度</w:t>
        </w:r>
      </w:hyperlink>
      <w:r>
        <w:rPr>
          <w:rFonts w:ascii="Arial" w:eastAsia="宋体" w:hAnsi="Arial" w:cs="Arial"/>
          <w:kern w:val="0"/>
          <w:sz w:val="24"/>
          <w:szCs w:val="24"/>
        </w:rPr>
        <w:t>，推动建立知识产权快速协同保护机制，健全</w:t>
      </w:r>
      <w:hyperlink r:id="rId12" w:tgtFrame="_blank" w:history="1">
        <w:r>
          <w:rPr>
            <w:rFonts w:ascii="Arial" w:eastAsia="宋体" w:hAnsi="Arial" w:cs="Arial"/>
            <w:kern w:val="0"/>
            <w:sz w:val="24"/>
            <w:szCs w:val="24"/>
          </w:rPr>
          <w:t>知识产权纠纷</w:t>
        </w:r>
      </w:hyperlink>
      <w:r>
        <w:rPr>
          <w:rFonts w:ascii="Arial" w:eastAsia="宋体" w:hAnsi="Arial" w:cs="Arial"/>
          <w:kern w:val="0"/>
          <w:sz w:val="24"/>
          <w:szCs w:val="24"/>
        </w:rPr>
        <w:t>多元化解决机制和知识产权维权援助机制，加大对知识产权的保护力度。</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国家持续深化商标注册、专利申请便利化改革，提高商标注册、专利申请审查效率。</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第十六条　国家加大中小投资者权益保护力度，完善中小投资者权益保护机制，保障中小</w:t>
      </w:r>
      <w:r>
        <w:rPr>
          <w:rFonts w:ascii="Arial" w:eastAsia="宋体" w:hAnsi="Arial" w:cs="Arial"/>
          <w:kern w:val="0"/>
          <w:sz w:val="24"/>
          <w:szCs w:val="24"/>
        </w:rPr>
        <w:t>投资者的知情权、参与权，提升中小投资者维护合法权益的便利度。</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第十七条　除法律、法规另有规定外，市场主体有权自主决定加入或者退出行业协会商会等社会组织，任何单位和个人不得干预。</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除法律、法规另有规定外，任何单位和个人不得强制或者变相强制市场主体参加评比、达标、表彰、培训、考核、考试以及类似活动，不得借前述活动向市场主体收费或者变相收费。</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第十八条　国家推动建立全国统一的市场主体维权服务平台，为市场主体提供高效、便捷的维权服务。</w:t>
      </w:r>
      <w:r>
        <w:rPr>
          <w:rFonts w:ascii="Arial" w:eastAsia="宋体" w:hAnsi="Arial" w:cs="Arial"/>
          <w:kern w:val="0"/>
          <w:sz w:val="24"/>
          <w:szCs w:val="24"/>
          <w:vertAlign w:val="superscript"/>
        </w:rPr>
        <w:t> [4]</w:t>
      </w:r>
      <w:r>
        <w:rPr>
          <w:rFonts w:ascii="Arial" w:eastAsia="宋体" w:hAnsi="Arial" w:cs="Arial"/>
          <w:kern w:val="0"/>
          <w:sz w:val="24"/>
          <w:szCs w:val="24"/>
        </w:rPr>
        <w:t> </w:t>
      </w:r>
    </w:p>
    <w:p w:rsidR="0028275D" w:rsidRDefault="003D03CA">
      <w:pPr>
        <w:widowControl/>
        <w:shd w:val="clear" w:color="auto" w:fill="FFFFFF"/>
        <w:spacing w:line="300" w:lineRule="atLeast"/>
        <w:jc w:val="left"/>
        <w:outlineLvl w:val="2"/>
        <w:rPr>
          <w:rFonts w:ascii="微软雅黑" w:eastAsia="微软雅黑" w:hAnsi="微软雅黑" w:cs="宋体"/>
          <w:kern w:val="0"/>
          <w:sz w:val="24"/>
          <w:szCs w:val="24"/>
        </w:rPr>
      </w:pPr>
      <w:bookmarkStart w:id="8" w:name="2_3"/>
      <w:bookmarkStart w:id="9" w:name="2-3"/>
      <w:bookmarkStart w:id="10" w:name="sub24135568_2_3"/>
      <w:bookmarkStart w:id="11" w:name="第三章_市场环境"/>
      <w:bookmarkEnd w:id="8"/>
      <w:bookmarkEnd w:id="9"/>
      <w:bookmarkEnd w:id="10"/>
      <w:bookmarkEnd w:id="11"/>
      <w:r>
        <w:rPr>
          <w:rFonts w:ascii="微软雅黑" w:eastAsia="微软雅黑" w:hAnsi="微软雅黑" w:cs="宋体" w:hint="eastAsia"/>
          <w:kern w:val="0"/>
          <w:sz w:val="24"/>
          <w:szCs w:val="24"/>
        </w:rPr>
        <w:t>第三章</w:t>
      </w:r>
      <w:r>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市场环境</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第十九条　国家持续深化商事制度改革，统一企业登记业务</w:t>
      </w:r>
      <w:r>
        <w:rPr>
          <w:rFonts w:ascii="Arial" w:eastAsia="宋体" w:hAnsi="Arial" w:cs="Arial"/>
          <w:kern w:val="0"/>
          <w:sz w:val="24"/>
          <w:szCs w:val="24"/>
        </w:rPr>
        <w:t>规范，统一数据标准和平台服务接口，采用统一社会信用代码进行登记管理。</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国家推进</w:t>
      </w:r>
      <w:r>
        <w:rPr>
          <w:rFonts w:ascii="Arial" w:eastAsia="宋体" w:hAnsi="Arial" w:cs="Arial"/>
          <w:kern w:val="0"/>
          <w:sz w:val="24"/>
          <w:szCs w:val="24"/>
        </w:rPr>
        <w:t>“</w:t>
      </w:r>
      <w:r>
        <w:rPr>
          <w:rFonts w:ascii="Arial" w:eastAsia="宋体" w:hAnsi="Arial" w:cs="Arial"/>
          <w:kern w:val="0"/>
          <w:sz w:val="24"/>
          <w:szCs w:val="24"/>
        </w:rPr>
        <w:t>证照分离</w:t>
      </w:r>
      <w:r>
        <w:rPr>
          <w:rFonts w:ascii="Arial" w:eastAsia="宋体" w:hAnsi="Arial" w:cs="Arial"/>
          <w:kern w:val="0"/>
          <w:sz w:val="24"/>
          <w:szCs w:val="24"/>
        </w:rPr>
        <w:t>”</w:t>
      </w:r>
      <w:r>
        <w:rPr>
          <w:rFonts w:ascii="Arial" w:eastAsia="宋体" w:hAnsi="Arial" w:cs="Arial"/>
          <w:kern w:val="0"/>
          <w:sz w:val="24"/>
          <w:szCs w:val="24"/>
        </w:rPr>
        <w:t>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政府有关部门应当按照国家有关规定，简化企业从申请设立到具备一般性经营条件所需办理的手续。在国家规定的企业开办时限内，各地区应当确定并公开具体办理时间。</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企业申</w:t>
      </w:r>
      <w:r>
        <w:rPr>
          <w:rFonts w:ascii="Arial" w:eastAsia="宋体" w:hAnsi="Arial" w:cs="Arial"/>
          <w:kern w:val="0"/>
          <w:sz w:val="24"/>
          <w:szCs w:val="24"/>
        </w:rPr>
        <w:t>请办理住所等相关变更登记的，有关部门应当依法及时办理，不得限制。除法律、法规、规章另有规定外，企业迁移后其持有的有效许可证件不再重复办理。</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第二十条　国家持续放宽市场准入，并实行全国统一的</w:t>
      </w:r>
      <w:hyperlink r:id="rId13" w:tgtFrame="_blank" w:history="1">
        <w:r>
          <w:rPr>
            <w:rFonts w:ascii="Arial" w:eastAsia="宋体" w:hAnsi="Arial" w:cs="Arial"/>
            <w:kern w:val="0"/>
            <w:sz w:val="24"/>
            <w:szCs w:val="24"/>
          </w:rPr>
          <w:t>市场准入负面清单制</w:t>
        </w:r>
        <w:r>
          <w:rPr>
            <w:rFonts w:ascii="Arial" w:eastAsia="宋体" w:hAnsi="Arial" w:cs="Arial"/>
            <w:kern w:val="0"/>
            <w:sz w:val="24"/>
            <w:szCs w:val="24"/>
          </w:rPr>
          <w:t>度</w:t>
        </w:r>
      </w:hyperlink>
      <w:r>
        <w:rPr>
          <w:rFonts w:ascii="Arial" w:eastAsia="宋体" w:hAnsi="Arial" w:cs="Arial"/>
          <w:kern w:val="0"/>
          <w:sz w:val="24"/>
          <w:szCs w:val="24"/>
        </w:rPr>
        <w:t>。市场准入负面清单以外的领域，各类市场主体均可以依法平等进入。</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各地区、各部门不得另行制定市场准入性质的负面清单。</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第二十一条　政府有关部门应当加大反垄断和反不正当竞争执法力度，有效预防和制止市场经济活动中的垄断行为、不正当竞争行为以及滥用行政权力排除、限制竞争的行为，营造公平竞争的市场环境。</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第二十二条　国家建立健全统一开放、竞争有序的人力资源市场体系，打破城乡、地区、行业分割和身份、性别等歧视，促进人力资源有序社会性流动和合理配置。</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第二十三条　政府及其有关部门应当完善政策措施、强化创新服务，鼓励和支持市场主体拓展创新空间，持续推进产品、技术、商业模式、管理等创新，充分发挥市场主体在推动科技成果转化中的作用。</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第二十四条　政府及其有关部门应当严格落实国家各项减税降费政策，及时研究解决政策落实中的具体问题，确保减税降费政策全面、及时惠及市场主体。</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第二十五条　设立政府性基金、涉企行政事业性收费、涉企保证金，应当有法律、行政法规依据或者经国务院批准。对政府性基金、涉企行政事业性收费、涉企保证金以及实行政府定价的</w:t>
      </w:r>
      <w:hyperlink r:id="rId14" w:tgtFrame="_blank" w:history="1">
        <w:r>
          <w:rPr>
            <w:rFonts w:ascii="Arial" w:eastAsia="宋体" w:hAnsi="Arial" w:cs="Arial"/>
            <w:kern w:val="0"/>
            <w:sz w:val="24"/>
            <w:szCs w:val="24"/>
          </w:rPr>
          <w:t>经营服务性收费</w:t>
        </w:r>
      </w:hyperlink>
      <w:r>
        <w:rPr>
          <w:rFonts w:ascii="Arial" w:eastAsia="宋体" w:hAnsi="Arial" w:cs="Arial"/>
          <w:kern w:val="0"/>
          <w:sz w:val="24"/>
          <w:szCs w:val="24"/>
        </w:rPr>
        <w:t>，实行目录清单管理并向社会公开，目录清单之外的前述收费和保证金一律不得执行。推广以金融机构保函替代现金缴纳涉企保证金。</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第二十六条　国家鼓励和支持金融机构加大对民营企业、中小企业的支持力度，降低民营企业、中小企业综合融资成本。</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金融监督管理部门应当完善对商业银行等金</w:t>
      </w:r>
      <w:r>
        <w:rPr>
          <w:rFonts w:ascii="Arial" w:eastAsia="宋体" w:hAnsi="Arial" w:cs="Arial"/>
          <w:kern w:val="0"/>
          <w:sz w:val="24"/>
          <w:szCs w:val="24"/>
        </w:rPr>
        <w:t>融机构的监管考核和激励机制，鼓励、引导其增加对民营企业、中小企业的信贷投放，并合理增加中长期贷款和信用贷款支持，提高贷款审批效率。</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第二十七条　国家促进多层次资本市场规范健康发展，拓宽市场主体融资渠道，支持符合条件的民营企业、中小企业依法发行股票、债券以及其他融资工具，扩</w:t>
      </w:r>
      <w:r>
        <w:rPr>
          <w:rFonts w:ascii="Arial" w:eastAsia="宋体" w:hAnsi="Arial" w:cs="Arial"/>
          <w:kern w:val="0"/>
          <w:sz w:val="24"/>
          <w:szCs w:val="24"/>
        </w:rPr>
        <w:t>大直接融资规模。</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第二十八条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政府有关部门应当加强对公用企事业单位运营的监督管理。</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第二十九条　行业协会商会应当依照法律、法规和章程，加强行业自律，及时反映行业诉求，为市场主体提供信息咨询、宣传培训、市场拓展、权益保护、纠纷处理等方面的服务。</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国家依法严格规范行业协会商会的收费、评比、认证等行为。</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第三十条　国家加强社会信用体系建设，持续推进政务诚信、商务诚信、社会诚信和司法公信建设，提高全社会诚信意识和信用水平，维护信用信息安全，严格保护商业秘密和个人隐私。</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第三十一条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w:t>
      </w:r>
      <w:r>
        <w:rPr>
          <w:rFonts w:ascii="Arial" w:eastAsia="宋体" w:hAnsi="Arial" w:cs="Arial"/>
          <w:kern w:val="0"/>
          <w:sz w:val="24"/>
          <w:szCs w:val="24"/>
        </w:rPr>
        <w:t>损失予以补偿。</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第三十二条　国家机关、事业单位不得违约拖欠市场主体的货物、工程、服务等账款，大型企业不得利用优势地位拖欠中小企业账款。</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县级以上人民政府及其有关部门应当加大对国家机关、事业单位拖欠市场主体账款的清理力度，并通过加强预算管理、严格责任追究等措施，建立防范和治理国家机关、事业单位拖欠市场主体账款的长效机制。</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第三十三条　政府有关部门应当优化市场主体注销办理流程，精简申请材料、压缩办理时间、降低注销成本。对设立后未开展生产经营活动或者无债权债务的市场主体，可以按照简易程序办理注销。对有债权债务的市</w:t>
      </w:r>
      <w:r>
        <w:rPr>
          <w:rFonts w:ascii="Arial" w:eastAsia="宋体" w:hAnsi="Arial" w:cs="Arial"/>
          <w:kern w:val="0"/>
          <w:sz w:val="24"/>
          <w:szCs w:val="24"/>
        </w:rPr>
        <w:t>场主体，在债权债务依法解决后及时办理注销。</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县级以上地方人民政府应当根据需要建立企业破产工作协调机制，协调解决企业破产过程中涉及的有关问题。</w:t>
      </w:r>
      <w:r>
        <w:rPr>
          <w:rFonts w:ascii="Arial" w:eastAsia="宋体" w:hAnsi="Arial" w:cs="Arial"/>
          <w:kern w:val="0"/>
          <w:sz w:val="24"/>
          <w:szCs w:val="24"/>
          <w:vertAlign w:val="superscript"/>
        </w:rPr>
        <w:t> [4]</w:t>
      </w:r>
      <w:r>
        <w:rPr>
          <w:rFonts w:ascii="Arial" w:eastAsia="宋体" w:hAnsi="Arial" w:cs="Arial"/>
          <w:kern w:val="0"/>
          <w:sz w:val="24"/>
          <w:szCs w:val="24"/>
        </w:rPr>
        <w:t> </w:t>
      </w:r>
    </w:p>
    <w:p w:rsidR="0028275D" w:rsidRDefault="003D03CA">
      <w:pPr>
        <w:widowControl/>
        <w:shd w:val="clear" w:color="auto" w:fill="FFFFFF"/>
        <w:spacing w:line="300" w:lineRule="atLeast"/>
        <w:jc w:val="left"/>
        <w:outlineLvl w:val="2"/>
        <w:rPr>
          <w:rFonts w:ascii="微软雅黑" w:eastAsia="微软雅黑" w:hAnsi="微软雅黑" w:cs="宋体"/>
          <w:kern w:val="0"/>
          <w:sz w:val="24"/>
          <w:szCs w:val="24"/>
        </w:rPr>
      </w:pPr>
      <w:bookmarkStart w:id="12" w:name="2_4"/>
      <w:bookmarkStart w:id="13" w:name="sub24135568_2_4"/>
      <w:bookmarkStart w:id="14" w:name="第四章_政务服务"/>
      <w:bookmarkStart w:id="15" w:name="2-4"/>
      <w:bookmarkEnd w:id="12"/>
      <w:bookmarkEnd w:id="13"/>
      <w:bookmarkEnd w:id="14"/>
      <w:bookmarkEnd w:id="15"/>
      <w:r>
        <w:rPr>
          <w:rFonts w:ascii="微软雅黑" w:eastAsia="微软雅黑" w:hAnsi="微软雅黑" w:cs="宋体" w:hint="eastAsia"/>
          <w:kern w:val="0"/>
          <w:sz w:val="24"/>
          <w:szCs w:val="24"/>
        </w:rPr>
        <w:t>第四章</w:t>
      </w:r>
      <w:r>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政务服务</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第三十四条　政府及其有关部门应当进一步增强服务意识，切实转变工作作风，为市场主体提供规范、便利、高效的政务服务。</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第三十五条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w:t>
      </w:r>
      <w:r>
        <w:rPr>
          <w:rFonts w:ascii="Arial" w:eastAsia="宋体" w:hAnsi="Arial" w:cs="Arial"/>
          <w:kern w:val="0"/>
          <w:sz w:val="24"/>
          <w:szCs w:val="24"/>
        </w:rPr>
        <w:t>项实行无差别受理、同标准办理。没有法律、法规、规章依据，不得增设政务服务事项的办理条件和环节。</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第三十六条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法律、法规、规章以及国家有关规定对政务服务事项办理时限有规定的，应当在规定的时限内尽快办结；没有规定的，应当按照合理、高效的原则</w:t>
      </w:r>
      <w:r>
        <w:rPr>
          <w:rFonts w:ascii="Arial" w:eastAsia="宋体" w:hAnsi="Arial" w:cs="Arial"/>
          <w:kern w:val="0"/>
          <w:sz w:val="24"/>
          <w:szCs w:val="24"/>
        </w:rPr>
        <w:t>确定办理时限并按时办结。各地区可以在国家规定的政务服务事项办理时限内进一步压减时间，并应当向社会公开；超过办理时间的，办理单位应当公开说明理由。</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地方各级人民政府已设立政务服务大厅的，本行政区域内各类政务服务事项一般应当进驻政务服务大厅统一办理。对政务服务大厅中部门分设的服务窗口，应当创造条件整合为综合窗口，提供一站式服务。</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第三十七条　国家加快建设全国一体化在线政务服务平台（以下称一体化在线平台），推动政务服务事项在全国范围内实现</w:t>
      </w:r>
      <w:r>
        <w:rPr>
          <w:rFonts w:ascii="Arial" w:eastAsia="宋体" w:hAnsi="Arial" w:cs="Arial"/>
          <w:kern w:val="0"/>
          <w:sz w:val="24"/>
          <w:szCs w:val="24"/>
        </w:rPr>
        <w:t>“</w:t>
      </w:r>
      <w:r>
        <w:rPr>
          <w:rFonts w:ascii="Arial" w:eastAsia="宋体" w:hAnsi="Arial" w:cs="Arial"/>
          <w:kern w:val="0"/>
          <w:sz w:val="24"/>
          <w:szCs w:val="24"/>
        </w:rPr>
        <w:t>一网通办</w:t>
      </w:r>
      <w:r>
        <w:rPr>
          <w:rFonts w:ascii="Arial" w:eastAsia="宋体" w:hAnsi="Arial" w:cs="Arial"/>
          <w:kern w:val="0"/>
          <w:sz w:val="24"/>
          <w:szCs w:val="24"/>
        </w:rPr>
        <w:t>”</w:t>
      </w:r>
      <w:r>
        <w:rPr>
          <w:rFonts w:ascii="Arial" w:eastAsia="宋体" w:hAnsi="Arial" w:cs="Arial"/>
          <w:kern w:val="0"/>
          <w:sz w:val="24"/>
          <w:szCs w:val="24"/>
        </w:rPr>
        <w:t>。除法律、法规另有规定或者涉及国家秘密等情形外，政务服务事项应当</w:t>
      </w:r>
      <w:r>
        <w:rPr>
          <w:rFonts w:ascii="Arial" w:eastAsia="宋体" w:hAnsi="Arial" w:cs="Arial"/>
          <w:kern w:val="0"/>
          <w:sz w:val="24"/>
          <w:szCs w:val="24"/>
        </w:rPr>
        <w:t>按照国务院确定的步骤，纳入一体化在线平台办理。</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国家建立电子证照共享服务系统，实现电子证照跨地区、跨部门共享和全国范围内互信互认。各地区、各部门应当加强电子证照的推广应用。</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各地区、各部门应当推动政务服务大厅与政务服务平台全面对接融合。市场主体有权自主选择政务服务办理渠道，行政机关不得限定办理渠道。</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第三十八条　政府及其有关部门应当通过政府网站、一体化在线平台，集中公布涉及市场主体的法律、法规、规章、行政规范性文件和各类政策措施，并通过多种途径和方式加强宣传解读。</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第三十九条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w:t>
      </w:r>
      <w:r>
        <w:rPr>
          <w:rFonts w:ascii="Arial" w:eastAsia="宋体" w:hAnsi="Arial" w:cs="Arial"/>
          <w:kern w:val="0"/>
          <w:sz w:val="24"/>
          <w:szCs w:val="24"/>
        </w:rPr>
        <w:t>事项，一律不得设立行政许可，严禁以备案、登记、注册、目录、规划、年检、年报、监制、认定、认证、审定以及其他任何形式变相设定或者实施行政许可。</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法律、行政法规和国务院决定对相关管理事项已作出规定，但未采取行政许可管理方式的，地方不得就该事项设定行政许可。对相关管理事项尚未制定法律、行政法规的，地方可以依法就该事项设定行政许可。</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第四十条　国家实行行政许可清单管理制度，适时调整行政许可清单并向社会公布，清单之外不得违法实施行政许可。</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国家大力精简已有行政许可。对已取消的行政许可，行政机关不得继续实施或者变相实施</w:t>
      </w:r>
      <w:r>
        <w:rPr>
          <w:rFonts w:ascii="Arial" w:eastAsia="宋体" w:hAnsi="Arial" w:cs="Arial"/>
          <w:kern w:val="0"/>
          <w:sz w:val="24"/>
          <w:szCs w:val="24"/>
        </w:rPr>
        <w:t>，不得转由行业协会商会或者其他组织实施。</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对实行行政许可管理的事项，行政机关应当通过整合实施、下放审批层级等多种方式，优化审批服务，提高审批效率，减轻市场主体负担。符合相关条件和要求的，可以按照有关规定采取告知承诺的方式办理。</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第四十一条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第四十二条　设区的市级以上地方人民政府应当按照国家有关规定，优化工程建设</w:t>
      </w:r>
      <w:r>
        <w:rPr>
          <w:rFonts w:ascii="Arial" w:eastAsia="宋体" w:hAnsi="Arial" w:cs="Arial"/>
          <w:kern w:val="0"/>
          <w:sz w:val="24"/>
          <w:szCs w:val="24"/>
        </w:rPr>
        <w:t>项目（不包括特殊工程和交通、水利、能源等领域的重大工程）审批流程，推行并联审批、多图联审、联合竣工验收等方式，简化审批手续，提高审批效能。</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第四十三条　作为办理行政审批条件的中介服务事项（以下称法定行政审批中介服务）应当有法律、法规或者国务院决定依据；没有依据的，不</w:t>
      </w:r>
      <w:r>
        <w:rPr>
          <w:rFonts w:ascii="Arial" w:eastAsia="宋体" w:hAnsi="Arial" w:cs="Arial"/>
          <w:kern w:val="0"/>
          <w:sz w:val="24"/>
          <w:szCs w:val="24"/>
        </w:rPr>
        <w:t>得作为办理行政审批的条件。中介服务机构应当明确办理法定行政审批中介服务的条件、流程、时限、收费标准，并向社会公开。</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行政机关在行政审批过程中需要委托中介服务机构开展技术性服务的，应当通过竞争性方式选择中介服务机构，并自行承担</w:t>
      </w:r>
      <w:r>
        <w:rPr>
          <w:rFonts w:ascii="Arial" w:eastAsia="宋体" w:hAnsi="Arial" w:cs="Arial"/>
          <w:kern w:val="0"/>
          <w:sz w:val="24"/>
          <w:szCs w:val="24"/>
        </w:rPr>
        <w:t>服务费用，不得转嫁给市场主体承担。</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第四十四条　证明事项应当有法律、法规或者国务院决定依据。</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政府有关部门应当公布证明事项清单，逐项列明设定依据、索要单位、开具单位、办理指南等。清单之外，政府部门、公用企事业单位和服务机构不得索要证明。各地区、各部门之间应当加强证明的互认共享，避免重复索</w:t>
      </w:r>
      <w:r>
        <w:rPr>
          <w:rFonts w:ascii="Arial" w:eastAsia="宋体" w:hAnsi="Arial" w:cs="Arial"/>
          <w:kern w:val="0"/>
          <w:sz w:val="24"/>
          <w:szCs w:val="24"/>
        </w:rPr>
        <w:t>要证明。</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第四十五条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w:t>
      </w:r>
      <w:r>
        <w:rPr>
          <w:rFonts w:ascii="Arial" w:eastAsia="宋体" w:hAnsi="Arial" w:cs="Arial"/>
          <w:kern w:val="0"/>
          <w:sz w:val="24"/>
          <w:szCs w:val="24"/>
        </w:rPr>
        <w:t>“</w:t>
      </w:r>
      <w:r>
        <w:rPr>
          <w:rFonts w:ascii="Arial" w:eastAsia="宋体" w:hAnsi="Arial" w:cs="Arial"/>
          <w:kern w:val="0"/>
          <w:sz w:val="24"/>
          <w:szCs w:val="24"/>
        </w:rPr>
        <w:t>单一窗口</w:t>
      </w:r>
      <w:r>
        <w:rPr>
          <w:rFonts w:ascii="Arial" w:eastAsia="宋体" w:hAnsi="Arial" w:cs="Arial"/>
          <w:kern w:val="0"/>
          <w:sz w:val="24"/>
          <w:szCs w:val="24"/>
        </w:rPr>
        <w:t>”</w:t>
      </w:r>
      <w:r>
        <w:rPr>
          <w:rFonts w:ascii="Arial" w:eastAsia="宋体" w:hAnsi="Arial" w:cs="Arial"/>
          <w:kern w:val="0"/>
          <w:sz w:val="24"/>
          <w:szCs w:val="24"/>
        </w:rPr>
        <w:t>办理。</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第四十六条　税务机关应当精简办税资料和流程，简并申报缴税次数，公开涉税事项办理时限，压减办税时间，加大推广使用电子发票的力度，逐步实现全程网上办税，持续优化纳税服务。</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第四十七条　不动产登记机构应当按照国家有关规定，加强部门协作，实行不动产登记、交易和</w:t>
      </w:r>
      <w:r>
        <w:rPr>
          <w:rFonts w:ascii="Arial" w:eastAsia="宋体" w:hAnsi="Arial" w:cs="Arial"/>
          <w:kern w:val="0"/>
          <w:sz w:val="24"/>
          <w:szCs w:val="24"/>
        </w:rPr>
        <w:t>缴税一窗受理、并行办理，压缩办理时间，降低办理成本。在国家规定的不动产登记时限内，各地区应当确定并公开具体办理时间。</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国家推动建立统一的动产和权利担保登记公示系统，逐步实现市场主体在一个平台上办理动产和权利担保登记。纳入统一登记公示系统的动产和权利范围另行规定。</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第四十八条　政府及其有关部门应当按照构建亲清新型政商关系的要求，建立畅通有效的政企沟通机制，采取多种方式及时听取市场主体的反映和诉求，了解市场主体生产经营中遇到的困难和问题，并依法帮助其解决。</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建立政企沟通机制，应当充分尊重市场主体意愿，增强针对性</w:t>
      </w:r>
      <w:r>
        <w:rPr>
          <w:rFonts w:ascii="Arial" w:eastAsia="宋体" w:hAnsi="Arial" w:cs="Arial"/>
          <w:kern w:val="0"/>
          <w:sz w:val="24"/>
          <w:szCs w:val="24"/>
        </w:rPr>
        <w:t>和有效性，不得干扰市场主体正常生产经营活动，不得增加市场主体负担。</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第四十九条　政府及其有关部门应当建立便利、畅通的渠道，受理有关营商环境的投诉和举报。</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第五十条　新闻媒体应当及时、准确宣传优化营商环境的措施和成效，为优化营商环境创造良好舆论氛围。</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国家鼓励对营商环境进行舆论监督，但禁止捏造虚假信息或者歪曲事实进行不实报道。</w:t>
      </w:r>
      <w:r>
        <w:rPr>
          <w:rFonts w:ascii="Arial" w:eastAsia="宋体" w:hAnsi="Arial" w:cs="Arial"/>
          <w:kern w:val="0"/>
          <w:sz w:val="24"/>
          <w:szCs w:val="24"/>
          <w:vertAlign w:val="superscript"/>
        </w:rPr>
        <w:t> [4]</w:t>
      </w:r>
      <w:r>
        <w:rPr>
          <w:rFonts w:ascii="Arial" w:eastAsia="宋体" w:hAnsi="Arial" w:cs="Arial"/>
          <w:kern w:val="0"/>
          <w:sz w:val="24"/>
          <w:szCs w:val="24"/>
        </w:rPr>
        <w:t> </w:t>
      </w:r>
    </w:p>
    <w:p w:rsidR="0028275D" w:rsidRDefault="003D03CA">
      <w:pPr>
        <w:widowControl/>
        <w:shd w:val="clear" w:color="auto" w:fill="FFFFFF"/>
        <w:spacing w:line="300" w:lineRule="atLeast"/>
        <w:jc w:val="left"/>
        <w:outlineLvl w:val="2"/>
        <w:rPr>
          <w:rFonts w:ascii="微软雅黑" w:eastAsia="微软雅黑" w:hAnsi="微软雅黑" w:cs="宋体"/>
          <w:kern w:val="0"/>
          <w:sz w:val="24"/>
          <w:szCs w:val="24"/>
        </w:rPr>
      </w:pPr>
      <w:bookmarkStart w:id="16" w:name="sub24135568_2_5"/>
      <w:bookmarkStart w:id="17" w:name="第五章_监管执法"/>
      <w:bookmarkStart w:id="18" w:name="2_5"/>
      <w:bookmarkStart w:id="19" w:name="2-5"/>
      <w:bookmarkEnd w:id="16"/>
      <w:bookmarkEnd w:id="17"/>
      <w:bookmarkEnd w:id="18"/>
      <w:bookmarkEnd w:id="19"/>
      <w:r>
        <w:rPr>
          <w:rFonts w:ascii="微软雅黑" w:eastAsia="微软雅黑" w:hAnsi="微软雅黑" w:cs="宋体" w:hint="eastAsia"/>
          <w:kern w:val="0"/>
          <w:sz w:val="24"/>
          <w:szCs w:val="24"/>
        </w:rPr>
        <w:t>第五章</w:t>
      </w:r>
      <w:r>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监管执法</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第五十一条　政府有关部门应当严格按照法律法规和职责，落实监管责任，明确监管对象和范围、厘清监管事权，依法对市场主体进行监管，实现监管全覆盖。</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第五十二条　国家健全公开透明的监管规则和标准体系。国务院有关部门应当分领域制定全国统一、简明易行的监管规则和标准，并向社会公开。</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第五十三条　政府及其有关部门应当按照国家关于加快构建以信用为基础的新型监管机制的要求，创新和完善信用监管，强化信用监管的支撑保障，加强信用监管的组织实施，不断提升信用监管效能。</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第五十四条　国家推行</w:t>
      </w:r>
      <w:r>
        <w:rPr>
          <w:rFonts w:ascii="Arial" w:eastAsia="宋体" w:hAnsi="Arial" w:cs="Arial"/>
          <w:kern w:val="0"/>
          <w:sz w:val="24"/>
          <w:szCs w:val="24"/>
        </w:rPr>
        <w:t>“</w:t>
      </w:r>
      <w:r>
        <w:rPr>
          <w:rFonts w:ascii="Arial" w:eastAsia="宋体" w:hAnsi="Arial" w:cs="Arial"/>
          <w:kern w:val="0"/>
          <w:sz w:val="24"/>
          <w:szCs w:val="24"/>
        </w:rPr>
        <w:t>双随机、一公开</w:t>
      </w:r>
      <w:r>
        <w:rPr>
          <w:rFonts w:ascii="Arial" w:eastAsia="宋体" w:hAnsi="Arial" w:cs="Arial"/>
          <w:kern w:val="0"/>
          <w:sz w:val="24"/>
          <w:szCs w:val="24"/>
        </w:rPr>
        <w:t>”</w:t>
      </w:r>
      <w:r>
        <w:rPr>
          <w:rFonts w:ascii="Arial" w:eastAsia="宋体" w:hAnsi="Arial" w:cs="Arial"/>
          <w:kern w:val="0"/>
          <w:sz w:val="24"/>
          <w:szCs w:val="24"/>
        </w:rPr>
        <w:t>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对直接涉及公共安全和人民群众生命健康等特殊行业、重点领域，依法依规实行全覆盖的重点监管，并严格规范重点监管的程序；对通过</w:t>
      </w:r>
      <w:hyperlink r:id="rId15" w:tgtFrame="_blank" w:history="1">
        <w:r>
          <w:rPr>
            <w:rFonts w:ascii="Arial" w:eastAsia="宋体" w:hAnsi="Arial" w:cs="Arial"/>
            <w:kern w:val="0"/>
            <w:sz w:val="24"/>
            <w:szCs w:val="24"/>
          </w:rPr>
          <w:t>投诉举报</w:t>
        </w:r>
      </w:hyperlink>
      <w:r>
        <w:rPr>
          <w:rFonts w:ascii="Arial" w:eastAsia="宋体" w:hAnsi="Arial" w:cs="Arial"/>
          <w:kern w:val="0"/>
          <w:sz w:val="24"/>
          <w:szCs w:val="24"/>
        </w:rPr>
        <w:t>、转办交办、数据监测等发现的问题，应当有针对性地进行检查并依法依规处理。</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第五十五条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第五十六条　政府及其有关部门应当充分运用互联网、大数据等技术手段，依托国家统一建立的在线监管系统，加强</w:t>
      </w:r>
      <w:r>
        <w:rPr>
          <w:rFonts w:ascii="Arial" w:eastAsia="宋体" w:hAnsi="Arial" w:cs="Arial"/>
          <w:kern w:val="0"/>
          <w:sz w:val="24"/>
          <w:szCs w:val="24"/>
        </w:rPr>
        <w:t>监管信息归集共享和关联整合，推行以远程监管、移动监管、预警防控为特征的非现场监管，提升监管的精准化、智能化水平。</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第五十七条　国家建立健全跨部门、跨区域行政执法联动响应和协作机制，实现违法线索互联、监管标准互通、处理结果互认。</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国家统筹配置行政执法职能和执法资源，在相关领域推行综合行政执法，整合精简执法队伍，减少执法主体和执法层级，提高基层执法能力。</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第五十八条　行政执法机关应当按照国家有关规定，全面落实行政执法公示、行政执法全过程记录和重大行政执法决定法制审核制度，实现行政执法信息及时准确公示、行政执法全</w:t>
      </w:r>
      <w:r>
        <w:rPr>
          <w:rFonts w:ascii="Arial" w:eastAsia="宋体" w:hAnsi="Arial" w:cs="Arial"/>
          <w:kern w:val="0"/>
          <w:sz w:val="24"/>
          <w:szCs w:val="24"/>
        </w:rPr>
        <w:t>过程留痕和可回溯管理、重大行政执法决定法制审核全覆盖。</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开展清理整顿、专项整治等活动，应当严格依法进行，除涉及人民群众生命安全、发生重特大事故或者举办国家重大活动，并报经有权机关批准外，不得在相关区域采取要求相关行业、领域的市场</w:t>
      </w:r>
      <w:r>
        <w:rPr>
          <w:rFonts w:ascii="Arial" w:eastAsia="宋体" w:hAnsi="Arial" w:cs="Arial"/>
          <w:kern w:val="0"/>
          <w:sz w:val="24"/>
          <w:szCs w:val="24"/>
        </w:rPr>
        <w:t>主体普遍停产、停业的措施。</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禁止将罚没收入与行政执法机关利益挂钩。</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第六十条　国家健全行政执法自由裁量基准制度，合理确定裁量范围、种类和幅度，规范行政执法</w:t>
      </w:r>
      <w:hyperlink r:id="rId16" w:tgtFrame="_blank" w:history="1">
        <w:r>
          <w:rPr>
            <w:rFonts w:ascii="Arial" w:eastAsia="宋体" w:hAnsi="Arial" w:cs="Arial"/>
            <w:kern w:val="0"/>
            <w:sz w:val="24"/>
            <w:szCs w:val="24"/>
          </w:rPr>
          <w:t>自由裁量权</w:t>
        </w:r>
      </w:hyperlink>
      <w:r>
        <w:rPr>
          <w:rFonts w:ascii="Arial" w:eastAsia="宋体" w:hAnsi="Arial" w:cs="Arial"/>
          <w:kern w:val="0"/>
          <w:sz w:val="24"/>
          <w:szCs w:val="24"/>
        </w:rPr>
        <w:t>的行使。</w:t>
      </w:r>
      <w:r>
        <w:rPr>
          <w:rFonts w:ascii="Arial" w:eastAsia="宋体" w:hAnsi="Arial" w:cs="Arial"/>
          <w:kern w:val="0"/>
          <w:sz w:val="24"/>
          <w:szCs w:val="24"/>
          <w:vertAlign w:val="superscript"/>
        </w:rPr>
        <w:t> [4]</w:t>
      </w:r>
      <w:bookmarkStart w:id="20" w:name="ref_[4]_24135568"/>
      <w:r>
        <w:rPr>
          <w:rFonts w:ascii="Arial" w:eastAsia="宋体" w:hAnsi="Arial" w:cs="Arial"/>
          <w:kern w:val="0"/>
          <w:sz w:val="24"/>
          <w:szCs w:val="24"/>
        </w:rPr>
        <w:t> </w:t>
      </w:r>
      <w:bookmarkEnd w:id="20"/>
    </w:p>
    <w:p w:rsidR="0028275D" w:rsidRDefault="003D03CA">
      <w:pPr>
        <w:widowControl/>
        <w:shd w:val="clear" w:color="auto" w:fill="FFFFFF"/>
        <w:spacing w:line="300" w:lineRule="atLeast"/>
        <w:jc w:val="left"/>
        <w:outlineLvl w:val="2"/>
        <w:rPr>
          <w:rFonts w:ascii="微软雅黑" w:eastAsia="微软雅黑" w:hAnsi="微软雅黑" w:cs="宋体"/>
          <w:kern w:val="0"/>
          <w:sz w:val="24"/>
          <w:szCs w:val="24"/>
        </w:rPr>
      </w:pPr>
      <w:bookmarkStart w:id="21" w:name="2_6"/>
      <w:bookmarkStart w:id="22" w:name="2-6"/>
      <w:bookmarkStart w:id="23" w:name="sub24135568_2_6"/>
      <w:bookmarkStart w:id="24" w:name="第六章_法治保障"/>
      <w:bookmarkEnd w:id="21"/>
      <w:bookmarkEnd w:id="22"/>
      <w:bookmarkEnd w:id="23"/>
      <w:bookmarkEnd w:id="24"/>
      <w:r>
        <w:rPr>
          <w:rFonts w:ascii="微软雅黑" w:eastAsia="微软雅黑" w:hAnsi="微软雅黑" w:cs="宋体" w:hint="eastAsia"/>
          <w:kern w:val="0"/>
          <w:sz w:val="24"/>
          <w:szCs w:val="24"/>
        </w:rPr>
        <w:t>第六章</w:t>
      </w:r>
      <w:r>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法治保障</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第六十一条　国家根据优化营商环境需要，依照法定权限和程序及时制定或者修改、废止有关法律、法</w:t>
      </w:r>
      <w:r>
        <w:rPr>
          <w:rFonts w:ascii="Arial" w:eastAsia="宋体" w:hAnsi="Arial" w:cs="Arial"/>
          <w:kern w:val="0"/>
          <w:sz w:val="24"/>
          <w:szCs w:val="24"/>
        </w:rPr>
        <w:t>规、规章、行政规范性文件。</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优化营商环境的改革措施涉及调整实施现行法律、行政法规等有关规定的，依照法定程序经有权机关授权后，可以先行先试。</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第六十二条　制定与市场主体生产经营活动密切相关的行政法规、规章、行政规范性文件，应当按照国务院的规定，充分听取市场主体、行业协会商会的意见。</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除依法需要保密外，制定与市场主体生产经营活动密切相关的行政法规、规章、行政规范性文件，应当通过报纸、网络等向社会公开征求意见，并建立健全意见采纳情况反馈机制。向社会公开征求意见的期限一般不少于</w:t>
      </w:r>
      <w:r>
        <w:rPr>
          <w:rFonts w:ascii="Arial" w:eastAsia="宋体" w:hAnsi="Arial" w:cs="Arial"/>
          <w:kern w:val="0"/>
          <w:sz w:val="24"/>
          <w:szCs w:val="24"/>
        </w:rPr>
        <w:t>30</w:t>
      </w:r>
      <w:r>
        <w:rPr>
          <w:rFonts w:ascii="Arial" w:eastAsia="宋体" w:hAnsi="Arial" w:cs="Arial"/>
          <w:kern w:val="0"/>
          <w:sz w:val="24"/>
          <w:szCs w:val="24"/>
        </w:rPr>
        <w:t>日。</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第六十三条　制定与市场主体生</w:t>
      </w:r>
      <w:r>
        <w:rPr>
          <w:rFonts w:ascii="Arial" w:eastAsia="宋体" w:hAnsi="Arial" w:cs="Arial"/>
          <w:kern w:val="0"/>
          <w:sz w:val="24"/>
          <w:szCs w:val="24"/>
        </w:rPr>
        <w:t>产经营活动密切相关的行政法规、规章、行政规范性文件，应当按照国务院的规定进行公平竞争审查。</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制定涉及市场主体权利义务的行政规范性文件，应当按照国务院的规定进行合法性审核。</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市场主体认为地方性法规同行政法规相抵触，或者认为规章同法律、行政法规相抵触的，可以向国务院书面提出审查建议，由有关机关按照规定程序处理。</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第六十四条　没有法律、法规或者国务院决定和命令依据的，行政规范性文件不得减损市场主体合法权益或者增加其义务，不得设置市场准入和退出条件，不得干预市场主体正常生产经营活动。</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涉及市场主体权利义务的行政规范性文件应当按照法定要求和程序予以公布，未经公布的不得作为行政管理依据。</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第六十五条　制定与市场主体生产经营活动密切相关的行政法规、规章、行政规范性文件，应当结合实际，确定是否为市场主体留出必要的适应调整期。</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政府及其有关部门应当统筹协调、合理把握规章、行政规范性文件等的出台节奏，全面评估政策效果，避免因政策叠加或者相互不协调对市场主体正常生产经营活动造成不利影响。</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第六十六条　国家完善调解、仲裁、行政裁决、行政复议、诉讼等有机衔接、相互协调的多元化纠纷解决机制，为市场主体提供高</w:t>
      </w:r>
      <w:r>
        <w:rPr>
          <w:rFonts w:ascii="Arial" w:eastAsia="宋体" w:hAnsi="Arial" w:cs="Arial"/>
          <w:kern w:val="0"/>
          <w:sz w:val="24"/>
          <w:szCs w:val="24"/>
        </w:rPr>
        <w:t>效、便捷的纠纷解决途径。</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第六十七条　国家加强法治宣传教育，落实国家机关普法责任制，提高国家工作人员依法履职能力，引导市场主体合法经营、依法维护自身合法权益，不断增强全社会的法治意识，为营造法治化营商环境提供基础性支撑。</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第六十八条　政府及其有关部门应当整合律师、公证、司法鉴定、调解、仲裁等公共法律服务资源，加快推进公共法律服务体系建设，全面提升公共法律服务能力和水平，为优化营商环境提供全方位法律服务。</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第六十九条　政府和有关部门及其工作人员有下列情形之一的，依法依规追究责任：</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（一）违法干预应当由市场主体</w:t>
      </w:r>
      <w:r>
        <w:rPr>
          <w:rFonts w:ascii="Arial" w:eastAsia="宋体" w:hAnsi="Arial" w:cs="Arial"/>
          <w:kern w:val="0"/>
          <w:sz w:val="24"/>
          <w:szCs w:val="24"/>
        </w:rPr>
        <w:t>自主决策的事项；</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（二）制定或者实施政策措施不依法平等对待各类市场主体；</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（三）违反法定权限、条件、程序对市场主体的财产和企业经营者个人财产实施查封、冻结和扣押等行政强制措施；</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（四）在法律、法规规定之外要求市场主体提供财力、物力或者人力；</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（五）没有法律、法规依据，强制或者变相强制市场主体参加评比、达标、表彰、培训、考核、考试以及类似活动，或者借前述活动向市场主体收费或者变相收费；</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（六）违法设立或者在目录清单之外执行政府性基金、涉企行政事业性收费、涉企保证金；</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（七）不履行向市场主体依法作出的政策承诺以</w:t>
      </w:r>
      <w:r>
        <w:rPr>
          <w:rFonts w:ascii="Arial" w:eastAsia="宋体" w:hAnsi="Arial" w:cs="Arial"/>
          <w:kern w:val="0"/>
          <w:sz w:val="24"/>
          <w:szCs w:val="24"/>
        </w:rPr>
        <w:t>及依法订立的各类合同，或者违约拖欠市场主体的货物、工程、服务等账款；</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（八）变相设定或者实施行政许可，继续</w:t>
      </w:r>
      <w:bookmarkStart w:id="25" w:name="_GoBack"/>
      <w:bookmarkEnd w:id="25"/>
      <w:r>
        <w:rPr>
          <w:rFonts w:ascii="Arial" w:eastAsia="宋体" w:hAnsi="Arial" w:cs="Arial"/>
          <w:kern w:val="0"/>
          <w:sz w:val="24"/>
          <w:szCs w:val="24"/>
        </w:rPr>
        <w:t>实施或者变相实施已取消的行政许可，或者转由行业协会商会或者其他组织实施已取消的行政许可；</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（九）为市场主体指定或者变相指定中介服务机构，或者违法强制市场主体接受中介服务；</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（十）制定与市场主体生产经营活动密切相关的行政法规、规章、行政规范性文件时，不按照规定听取市场主体、行业协会商会的意见；</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（十一）其他不履行优化营商环境职责或者损害营商环境的情形。</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第七十条　公用企事业单位有下列情形之一的，由有关部门</w:t>
      </w:r>
      <w:r>
        <w:rPr>
          <w:rFonts w:ascii="Arial" w:eastAsia="宋体" w:hAnsi="Arial" w:cs="Arial"/>
          <w:kern w:val="0"/>
          <w:sz w:val="24"/>
          <w:szCs w:val="24"/>
        </w:rPr>
        <w:t>责令改正，依法追究法律责任：</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（一）不向社会公开服务标准、资费标准、办理时限等信息；</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（二）强迫市场主体接受不合理的服务条件；</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（三）向市场主体收取不合理费用。</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第七十一条　行业协会商会、中介服务机构有下列情形之一的，由有关部门责令改正，依法追究法律责任：</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（一）违法开展收费、评比、认证等行为；</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（二）违法干预市场主体加入或者退出行业协会商会等社会组织；</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（三）没有法律、法规依据，强制或者变相强制市场主体参加评比、达标、表彰、培训、考核、考试以及类似活动，或者借前述活动向市场主体收费或者变相收费；</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（四）不</w:t>
      </w:r>
      <w:r>
        <w:rPr>
          <w:rFonts w:ascii="Arial" w:eastAsia="宋体" w:hAnsi="Arial" w:cs="Arial"/>
          <w:kern w:val="0"/>
          <w:sz w:val="24"/>
          <w:szCs w:val="24"/>
        </w:rPr>
        <w:t>向社会公开办理法定行政审批中介服务的条件、流程、时限、收费标准；</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（五）违法强制或者变相强制市场主体接受中介服务。</w:t>
      </w:r>
    </w:p>
    <w:p w:rsidR="0028275D" w:rsidRDefault="003D03CA">
      <w:pPr>
        <w:widowControl/>
        <w:shd w:val="clear" w:color="auto" w:fill="FFFFFF"/>
        <w:spacing w:line="300" w:lineRule="atLeast"/>
        <w:jc w:val="left"/>
        <w:outlineLvl w:val="2"/>
        <w:rPr>
          <w:rFonts w:ascii="微软雅黑" w:eastAsia="微软雅黑" w:hAnsi="微软雅黑" w:cs="宋体"/>
          <w:kern w:val="0"/>
          <w:sz w:val="24"/>
          <w:szCs w:val="24"/>
        </w:rPr>
      </w:pPr>
      <w:bookmarkStart w:id="26" w:name="2_7"/>
      <w:bookmarkStart w:id="27" w:name="第七章_附_则"/>
      <w:bookmarkStart w:id="28" w:name="sub24135568_2_7"/>
      <w:bookmarkStart w:id="29" w:name="2-7"/>
      <w:bookmarkEnd w:id="26"/>
      <w:bookmarkEnd w:id="27"/>
      <w:bookmarkEnd w:id="28"/>
      <w:bookmarkEnd w:id="29"/>
      <w:r>
        <w:rPr>
          <w:rFonts w:ascii="微软雅黑" w:eastAsia="微软雅黑" w:hAnsi="微软雅黑" w:cs="宋体" w:hint="eastAsia"/>
          <w:kern w:val="0"/>
          <w:sz w:val="24"/>
          <w:szCs w:val="24"/>
        </w:rPr>
        <w:t>第七章</w:t>
      </w:r>
      <w:r>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附</w:t>
      </w:r>
      <w:r>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则</w:t>
      </w:r>
    </w:p>
    <w:p w:rsidR="0028275D" w:rsidRDefault="003D03CA">
      <w:pPr>
        <w:widowControl/>
        <w:shd w:val="clear" w:color="auto" w:fill="FFFFFF"/>
        <w:spacing w:line="360" w:lineRule="atLeast"/>
        <w:ind w:firstLine="480"/>
        <w:jc w:val="left"/>
        <w:rPr>
          <w:rFonts w:ascii="Arial" w:eastAsia="宋体" w:hAnsi="Arial" w:cs="Arial"/>
          <w:kern w:val="0"/>
          <w:sz w:val="24"/>
          <w:szCs w:val="24"/>
        </w:rPr>
      </w:pPr>
      <w:r>
        <w:rPr>
          <w:rFonts w:ascii="Arial" w:eastAsia="宋体" w:hAnsi="Arial" w:cs="Arial"/>
          <w:kern w:val="0"/>
          <w:sz w:val="24"/>
          <w:szCs w:val="24"/>
        </w:rPr>
        <w:t>第七十二条　本条例自</w:t>
      </w:r>
      <w:r>
        <w:rPr>
          <w:rFonts w:ascii="Arial" w:eastAsia="宋体" w:hAnsi="Arial" w:cs="Arial"/>
          <w:kern w:val="0"/>
          <w:sz w:val="24"/>
          <w:szCs w:val="24"/>
        </w:rPr>
        <w:t>2020</w:t>
      </w:r>
      <w:r>
        <w:rPr>
          <w:rFonts w:ascii="Arial" w:eastAsia="宋体" w:hAnsi="Arial" w:cs="Arial"/>
          <w:kern w:val="0"/>
          <w:sz w:val="24"/>
          <w:szCs w:val="24"/>
        </w:rPr>
        <w:t>年</w:t>
      </w:r>
      <w:r>
        <w:rPr>
          <w:rFonts w:ascii="Arial" w:eastAsia="宋体" w:hAnsi="Arial" w:cs="Arial"/>
          <w:kern w:val="0"/>
          <w:sz w:val="24"/>
          <w:szCs w:val="24"/>
        </w:rPr>
        <w:t>1</w:t>
      </w:r>
      <w:r>
        <w:rPr>
          <w:rFonts w:ascii="Arial" w:eastAsia="宋体" w:hAnsi="Arial" w:cs="Arial"/>
          <w:kern w:val="0"/>
          <w:sz w:val="24"/>
          <w:szCs w:val="24"/>
        </w:rPr>
        <w:t>月</w:t>
      </w:r>
      <w:r>
        <w:rPr>
          <w:rFonts w:ascii="Arial" w:eastAsia="宋体" w:hAnsi="Arial" w:cs="Arial"/>
          <w:kern w:val="0"/>
          <w:sz w:val="24"/>
          <w:szCs w:val="24"/>
        </w:rPr>
        <w:t>1</w:t>
      </w:r>
      <w:r>
        <w:rPr>
          <w:rFonts w:ascii="Arial" w:eastAsia="宋体" w:hAnsi="Arial" w:cs="Arial"/>
          <w:kern w:val="0"/>
          <w:sz w:val="24"/>
          <w:szCs w:val="24"/>
        </w:rPr>
        <w:t>日起施行。</w:t>
      </w:r>
    </w:p>
    <w:p w:rsidR="0028275D" w:rsidRDefault="0028275D">
      <w:pPr>
        <w:rPr>
          <w:sz w:val="24"/>
          <w:szCs w:val="24"/>
        </w:rPr>
      </w:pPr>
    </w:p>
    <w:sectPr w:rsidR="0028275D" w:rsidSect="0028275D">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3CA" w:rsidRDefault="003D03CA" w:rsidP="0028275D">
      <w:r>
        <w:separator/>
      </w:r>
    </w:p>
  </w:endnote>
  <w:endnote w:type="continuationSeparator" w:id="1">
    <w:p w:rsidR="003D03CA" w:rsidRDefault="003D03CA" w:rsidP="00282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75D" w:rsidRDefault="0028275D">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28275D" w:rsidRDefault="0028275D">
                <w:pPr>
                  <w:pStyle w:val="a3"/>
                </w:pPr>
                <w:r>
                  <w:rPr>
                    <w:rFonts w:hint="eastAsia"/>
                  </w:rPr>
                  <w:fldChar w:fldCharType="begin"/>
                </w:r>
                <w:r w:rsidR="003D03CA">
                  <w:rPr>
                    <w:rFonts w:hint="eastAsia"/>
                  </w:rPr>
                  <w:instrText xml:space="preserve"> PAGE  \* MERGEFORMAT </w:instrText>
                </w:r>
                <w:r>
                  <w:rPr>
                    <w:rFonts w:hint="eastAsia"/>
                  </w:rPr>
                  <w:fldChar w:fldCharType="separate"/>
                </w:r>
                <w:r w:rsidR="003D03CA">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3CA" w:rsidRDefault="003D03CA" w:rsidP="0028275D">
      <w:r>
        <w:separator/>
      </w:r>
    </w:p>
  </w:footnote>
  <w:footnote w:type="continuationSeparator" w:id="1">
    <w:p w:rsidR="003D03CA" w:rsidRDefault="003D03CA" w:rsidP="002827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90C"/>
    <w:rsid w:val="00133EDE"/>
    <w:rsid w:val="0028275D"/>
    <w:rsid w:val="003D03CA"/>
    <w:rsid w:val="00547C30"/>
    <w:rsid w:val="00AA090C"/>
    <w:rsid w:val="25440574"/>
    <w:rsid w:val="6F0813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5D"/>
    <w:pPr>
      <w:widowControl w:val="0"/>
      <w:jc w:val="both"/>
    </w:pPr>
    <w:rPr>
      <w:kern w:val="2"/>
      <w:sz w:val="21"/>
      <w:szCs w:val="22"/>
    </w:rPr>
  </w:style>
  <w:style w:type="paragraph" w:styleId="3">
    <w:name w:val="heading 3"/>
    <w:basedOn w:val="a"/>
    <w:next w:val="a"/>
    <w:link w:val="3Char"/>
    <w:uiPriority w:val="9"/>
    <w:qFormat/>
    <w:rsid w:val="0028275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28275D"/>
    <w:pPr>
      <w:tabs>
        <w:tab w:val="center" w:pos="4153"/>
        <w:tab w:val="right" w:pos="8306"/>
      </w:tabs>
      <w:snapToGrid w:val="0"/>
      <w:jc w:val="left"/>
    </w:pPr>
    <w:rPr>
      <w:sz w:val="18"/>
    </w:rPr>
  </w:style>
  <w:style w:type="paragraph" w:styleId="a4">
    <w:name w:val="header"/>
    <w:basedOn w:val="a"/>
    <w:uiPriority w:val="99"/>
    <w:semiHidden/>
    <w:unhideWhenUsed/>
    <w:rsid w:val="0028275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semiHidden/>
    <w:unhideWhenUsed/>
    <w:rsid w:val="0028275D"/>
    <w:rPr>
      <w:color w:val="0000FF"/>
      <w:u w:val="single"/>
    </w:rPr>
  </w:style>
  <w:style w:type="character" w:customStyle="1" w:styleId="3Char">
    <w:name w:val="标题 3 Char"/>
    <w:basedOn w:val="a0"/>
    <w:link w:val="3"/>
    <w:uiPriority w:val="9"/>
    <w:rsid w:val="0028275D"/>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5%85%AC%E4%BC%97%E6%BB%A1%E6%84%8F%E5%BA%A6/12747907" TargetMode="External"/><Relationship Id="rId13" Type="http://schemas.openxmlformats.org/officeDocument/2006/relationships/hyperlink" Target="https://baike.baidu.com/item/%E5%B8%82%E5%9C%BA%E5%87%86%E5%85%A5%E8%B4%9F%E9%9D%A2%E6%B8%85%E5%8D%95%E5%88%B6%E5%BA%A6/1912870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9%9D%9E%E5%85%AC%E6%9C%89%E5%88%B6%E7%BB%8F%E6%B5%8E/3186062" TargetMode="External"/><Relationship Id="rId12" Type="http://schemas.openxmlformats.org/officeDocument/2006/relationships/hyperlink" Target="https://baike.baidu.com/item/%E7%9F%A5%E8%AF%86%E4%BA%A7%E6%9D%83%E7%BA%A0%E7%BA%B7/1274825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aike.baidu.com/item/%E8%87%AA%E7%94%B1%E8%A3%81%E9%87%8F%E6%9D%83/518626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baidu.com/item/%E6%83%A9%E7%BD%9A%E6%80%A7%E8%B5%94%E5%81%BF%E5%88%B6%E5%BA%A6/7567698" TargetMode="External"/><Relationship Id="rId5" Type="http://schemas.openxmlformats.org/officeDocument/2006/relationships/footnotes" Target="footnotes.xml"/><Relationship Id="rId15" Type="http://schemas.openxmlformats.org/officeDocument/2006/relationships/hyperlink" Target="https://baike.baidu.com/item/%E6%8A%95%E8%AF%89%E4%B8%BE%E6%8A%A5/9158565" TargetMode="External"/><Relationship Id="rId10" Type="http://schemas.openxmlformats.org/officeDocument/2006/relationships/hyperlink" Target="https://baike.baidu.com/item/%E4%BA%BA%E5%8A%9B%E8%B5%84%E6%BA%90%E6%94%BF%E7%AD%96/603730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baidu.com/item/%E7%BB%8F%E8%90%A5%E8%87%AA%E4%B8%BB%E6%9D%83/2323897" TargetMode="External"/><Relationship Id="rId14" Type="http://schemas.openxmlformats.org/officeDocument/2006/relationships/hyperlink" Target="https://baike.baidu.com/item/%E7%BB%8F%E8%90%A5%E6%9C%8D%E5%8A%A1%E6%80%A7%E6%94%B6%E8%B4%B9/819682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1727</Words>
  <Characters>9849</Characters>
  <Application>Microsoft Office Word</Application>
  <DocSecurity>0</DocSecurity>
  <Lines>82</Lines>
  <Paragraphs>23</Paragraphs>
  <ScaleCrop>false</ScaleCrop>
  <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dcterms:created xsi:type="dcterms:W3CDTF">2021-06-18T09:35:00Z</dcterms:created>
  <dcterms:modified xsi:type="dcterms:W3CDTF">2021-06-21T07:27:00Z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