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5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3867"/>
        <w:gridCol w:w="516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枣庄达康医疗器械有限公司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山东省枣庄市台儿庄区运河大道1578号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山东省枣庄市台儿庄区运河大道1578号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山东省枣庄市台儿庄区运河大道1578号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</w:rPr>
              <w:t>医疗器械</w:t>
            </w:r>
            <w:r>
              <w:rPr>
                <w:rFonts w:hint="eastAsia" w:ascii="Tahoma" w:hAnsi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鲁枣药械经营备20240057号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6816，6820，6821，6822，6823，6824，6825，6826，6827，6828，6830，6831，6832，6833，6834，6840临床检验分析仪器（体外诊断试剂除外），6841，6845，6854，6855，6856，6857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Ⅱ类：01，02，03，04，05，06，07，08，09，10，11，14，15，16，17，18，19（19-01-07除外），20，21，22※※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（浙）网械淘宝备字[2018]第00004号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阿里巴巴网络技术有限公司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杭州有赞科技有限公司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平安健康医疗科技有限公司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广州唯品会信息科技有限公司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（粤）网械平台备字[2019]第00001号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北京京东世纪贸易有限公司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苏宁易购集团股份有限公司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考拉海购(杭州)科技有限公司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宁波网盛大宗商品交易有限公司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杭州卷瓜网络有限公司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3E05B82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9E80823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A9C7FD2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8D4F44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1</TotalTime>
  <ScaleCrop>false</ScaleCrop>
  <LinksUpToDate>false</LinksUpToDate>
  <CharactersWithSpaces>881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2023-01-30T07:57:00Z</cp:lastPrinted>
  <dcterms:modified xsi:type="dcterms:W3CDTF">2024-03-08T08:27:26Z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80F64B7EC4D942A5A236C34D77174741_13</vt:lpwstr>
  </property>
</Properties>
</file>