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4" w:firstLineChars="300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备案时间：2021年10月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9日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3045"/>
        <w:gridCol w:w="533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自建类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  <w:bdr w:val="none" w:color="auto" w:sz="0" w:space="0"/>
              </w:rPr>
              <w:t>枣庄立健药店连锁有限公司滕州育才路店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  <w:bdr w:val="none" w:color="auto" w:sz="0" w:space="0"/>
              </w:rPr>
              <w:t>枣庄市滕州市北辛街道善国北路39号（善国路与新华前街交接处西南角）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  <w:bdr w:val="none" w:color="auto" w:sz="0" w:space="0"/>
              </w:rPr>
              <w:t>枣庄市滕州市北辛街道善国北路39号（善国路与新华前街交接处西南角）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鲁枣食药监械经营备20210387号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  <w:bdr w:val="none" w:color="auto" w:sz="0" w:space="0"/>
              </w:rPr>
              <w:t>Ⅱ类： 6801；6806；6808；6820; 6821；6826;6840临床检验分析仪器(体外诊断试剂除外)；6840诊断试剂（诊断试剂不需低温冷藏运输贮存）；6841； 6856；6864；6865；6866※※Ⅱ类：01，02，03(03-13除外)，04，05，06，07，08，09，10，11，14，15，16（16-06、16-07除外），17（17-08除外），18（18-06除外），19（19-01-07除外），20，21，22※※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北京三快科技有限公司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上海拉扎斯信息科技有限公司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:bdr w:val="none" w:color="auto" w:sz="0" w:space="0"/>
              </w:rPr>
              <w:t>北京京东世纪贸易有限公司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88E3BD5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29</TotalTime>
  <ScaleCrop>false</ScaleCrop>
  <LinksUpToDate>false</LinksUpToDate>
  <CharactersWithSpaces>772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2021-08-23T02:03:00Z</cp:lastPrinted>
  <dcterms:modified xsi:type="dcterms:W3CDTF">2021-11-01T01:14:55Z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97C17AFB2CA840128E131295AA60B045</vt:lpwstr>
  </property>
</Properties>
</file>