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枣庄蜜柚文化传媒有限公司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山东省枣庄市滕州市荆河街道新兴路步行街新兴商务大厦14层1401室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山东省枣庄市滕州市荆河街道新兴路步行街新兴商务大厦14层1401室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山东省枣庄市滕州市荆河街道新兴路步行街新兴商务大厦14层1401室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鲁枣药监械经营备20230461号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6804，6807，6808，6809，6810，6813，6815，6821，6822（6822-1角膜接触镜及护理用液除外），6823，6824，6825，6826，6827，6828，6830，6831，6832，6833，6840临床检验分析仪器（体外诊断试剂除外），6841，6845，6846，6854，6855，6866，6857，6858，6863，6864，6865，6870，6877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Ⅱ类：01，02，03(03-13除外)，04，05，06，07，08，09，10，12，13，14，16(16-06、16-07除外)，17(17-08除外)，18(18-06除外)，19，20，21，22※※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（京)网药械信息备字(2024)第00244号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4EC3346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877</Characters>
  <Lines>5</Lines>
  <Paragraphs>1</Paragraphs>
  <TotalTime>4</TotalTime>
  <ScaleCrop>false</ScaleCrop>
  <LinksUpToDate>false</LinksUpToDate>
  <CharactersWithSpaces>884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2024-07-22T05:45:02Z</cp:lastPrinted>
  <dcterms:modified xsi:type="dcterms:W3CDTF">2024-07-22T05:48:55Z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52F68562D5084B2A9EB517EE88329567_13</vt:lpwstr>
  </property>
</Properties>
</file>