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30</w:t>
      </w:r>
      <w:r>
        <w:rPr>
          <w:rFonts w:hint="eastAsia" w:ascii="宋体" w:hAnsi="宋体" w:eastAsia="宋体" w:cs="宋体"/>
          <w:sz w:val="28"/>
          <w:szCs w:val="28"/>
          <w:lang w:val="en-US" w:eastAsia="zh-CN"/>
        </w:rPr>
        <w:t>日</w:t>
      </w:r>
    </w:p>
    <w:tbl>
      <w:tblPr>
        <w:tblStyle w:val="5"/>
        <w:tblW w:w="1057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6454"/>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9349"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645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幸福人大药房连锁（山东）有限公司山亭店子久康店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645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sz w:val="24"/>
                <w:szCs w:val="24"/>
              </w:rPr>
              <w:t>山东省枣庄市山亭店子镇滕平公路店子客运站对面零食优选南第一间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645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sz w:val="24"/>
                <w:szCs w:val="24"/>
              </w:rPr>
              <w:t>山东省枣庄市山亭店子镇滕平公路店子客运站对面零食优选南第一间</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645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645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645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鲁枣药监械经营备20230093号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6454"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6801，6802，6803，6804，6805，6806，6807，6808，6809，6810，6812，6813，6815，6816，6820，6821，6822，6823，6824，6825，6826，6827，6828，6830，6831，6832，6833，6834，6840临床检验分析仪器（体外诊断试剂除外），6841，6845，6840诊断试剂（诊断试剂不需低温冷藏运输贮存），6854，6855，6856，6857，6858，6863，6864，6865，6866，6870※※</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浙江天猫网络有限公司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上海伊邦医药信息科技有限公司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江苏苏宁易购电子商务有限公司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阿里健康科技（广州）有限公司</w:t>
            </w:r>
          </w:p>
        </w:tc>
        <w:tc>
          <w:tcPr>
            <w:tcW w:w="645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（粤）网械平台备字[2018]第00004号</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5EC748B"/>
    <w:rsid w:val="06EB41A5"/>
    <w:rsid w:val="071A2E14"/>
    <w:rsid w:val="07391925"/>
    <w:rsid w:val="075D3A82"/>
    <w:rsid w:val="08A920DA"/>
    <w:rsid w:val="0FEF5D1C"/>
    <w:rsid w:val="10077D9A"/>
    <w:rsid w:val="103E3692"/>
    <w:rsid w:val="117077A7"/>
    <w:rsid w:val="14CD0E39"/>
    <w:rsid w:val="16050BC5"/>
    <w:rsid w:val="16151C7A"/>
    <w:rsid w:val="167D58D1"/>
    <w:rsid w:val="17CA6154"/>
    <w:rsid w:val="18702CCD"/>
    <w:rsid w:val="1A6F5421"/>
    <w:rsid w:val="1B036F9D"/>
    <w:rsid w:val="1B324BB2"/>
    <w:rsid w:val="1B58058F"/>
    <w:rsid w:val="1C5A4CAA"/>
    <w:rsid w:val="1D4A10CA"/>
    <w:rsid w:val="1D921BC1"/>
    <w:rsid w:val="1E0C06DC"/>
    <w:rsid w:val="1E5E752B"/>
    <w:rsid w:val="1EDF0BAD"/>
    <w:rsid w:val="1F7F7C9A"/>
    <w:rsid w:val="21F939AE"/>
    <w:rsid w:val="22CE5A6F"/>
    <w:rsid w:val="23960DBA"/>
    <w:rsid w:val="24B50AAC"/>
    <w:rsid w:val="25A42208"/>
    <w:rsid w:val="27A3386A"/>
    <w:rsid w:val="27F405DF"/>
    <w:rsid w:val="284C32BD"/>
    <w:rsid w:val="29B6763D"/>
    <w:rsid w:val="29CD439F"/>
    <w:rsid w:val="2BC9394A"/>
    <w:rsid w:val="2BE32869"/>
    <w:rsid w:val="2CDE67F4"/>
    <w:rsid w:val="2D627EFA"/>
    <w:rsid w:val="2E0867D4"/>
    <w:rsid w:val="2E867040"/>
    <w:rsid w:val="2EB17FEB"/>
    <w:rsid w:val="2F502DC3"/>
    <w:rsid w:val="2FE6787E"/>
    <w:rsid w:val="311E0E99"/>
    <w:rsid w:val="319C0AD8"/>
    <w:rsid w:val="31CB5083"/>
    <w:rsid w:val="32B85E5D"/>
    <w:rsid w:val="33CA3782"/>
    <w:rsid w:val="36754020"/>
    <w:rsid w:val="38A174A6"/>
    <w:rsid w:val="39437DA8"/>
    <w:rsid w:val="398F441E"/>
    <w:rsid w:val="3A4A28C1"/>
    <w:rsid w:val="3B5C0BB6"/>
    <w:rsid w:val="3C2974B3"/>
    <w:rsid w:val="3CF71E87"/>
    <w:rsid w:val="3D85696B"/>
    <w:rsid w:val="3E40530D"/>
    <w:rsid w:val="3E806BB1"/>
    <w:rsid w:val="3F147FA7"/>
    <w:rsid w:val="3F8B69E4"/>
    <w:rsid w:val="3FCB5A69"/>
    <w:rsid w:val="4104439B"/>
    <w:rsid w:val="41AB71AB"/>
    <w:rsid w:val="42EE483C"/>
    <w:rsid w:val="43AD5586"/>
    <w:rsid w:val="44165CE3"/>
    <w:rsid w:val="449605A9"/>
    <w:rsid w:val="453D167A"/>
    <w:rsid w:val="470D5236"/>
    <w:rsid w:val="479559FD"/>
    <w:rsid w:val="47B81EE4"/>
    <w:rsid w:val="4939664A"/>
    <w:rsid w:val="497112EB"/>
    <w:rsid w:val="4C355ED1"/>
    <w:rsid w:val="4C7D1388"/>
    <w:rsid w:val="4EFD5BD6"/>
    <w:rsid w:val="4F5870ED"/>
    <w:rsid w:val="50A3118B"/>
    <w:rsid w:val="50F11EF6"/>
    <w:rsid w:val="51536101"/>
    <w:rsid w:val="52C310A6"/>
    <w:rsid w:val="53B6230A"/>
    <w:rsid w:val="55B57008"/>
    <w:rsid w:val="576A2C81"/>
    <w:rsid w:val="58ED38EB"/>
    <w:rsid w:val="59387BE1"/>
    <w:rsid w:val="599C4559"/>
    <w:rsid w:val="5B8871CD"/>
    <w:rsid w:val="5B995664"/>
    <w:rsid w:val="5BB10F5E"/>
    <w:rsid w:val="5BBB0D70"/>
    <w:rsid w:val="5D2005F6"/>
    <w:rsid w:val="5D3A4279"/>
    <w:rsid w:val="5E2D1734"/>
    <w:rsid w:val="5E7D1389"/>
    <w:rsid w:val="61561414"/>
    <w:rsid w:val="61621E3A"/>
    <w:rsid w:val="62287766"/>
    <w:rsid w:val="637F38D1"/>
    <w:rsid w:val="64A5243F"/>
    <w:rsid w:val="661C258E"/>
    <w:rsid w:val="667016B7"/>
    <w:rsid w:val="66DE190B"/>
    <w:rsid w:val="68EE1FF3"/>
    <w:rsid w:val="69CC4E56"/>
    <w:rsid w:val="6ADE7537"/>
    <w:rsid w:val="6B6E53C2"/>
    <w:rsid w:val="6C0134DD"/>
    <w:rsid w:val="6C8E038A"/>
    <w:rsid w:val="6D284A9A"/>
    <w:rsid w:val="6D647420"/>
    <w:rsid w:val="6E6B2C3D"/>
    <w:rsid w:val="6EDA16E3"/>
    <w:rsid w:val="6EF44F0E"/>
    <w:rsid w:val="712526A2"/>
    <w:rsid w:val="7193260B"/>
    <w:rsid w:val="71EA0570"/>
    <w:rsid w:val="72074D7C"/>
    <w:rsid w:val="72491A77"/>
    <w:rsid w:val="73C82FBA"/>
    <w:rsid w:val="73C852A6"/>
    <w:rsid w:val="74091CCB"/>
    <w:rsid w:val="74C220FE"/>
    <w:rsid w:val="75104833"/>
    <w:rsid w:val="77CD582D"/>
    <w:rsid w:val="78CA369F"/>
    <w:rsid w:val="79030169"/>
    <w:rsid w:val="79846C95"/>
    <w:rsid w:val="7A907046"/>
    <w:rsid w:val="7BFA34B6"/>
    <w:rsid w:val="7BFF698A"/>
    <w:rsid w:val="7D9D1F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551</Words>
  <Characters>764</Characters>
  <Lines>5</Lines>
  <Paragraphs>1</Paragraphs>
  <TotalTime>1</TotalTime>
  <ScaleCrop>false</ScaleCrop>
  <LinksUpToDate>false</LinksUpToDate>
  <CharactersWithSpaces>771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ㅤㅤㅤ</cp:lastModifiedBy>
  <cp:lastPrinted>2023-03-30T00:30:40Z</cp:lastPrinted>
  <dcterms:modified xsi:type="dcterms:W3CDTF">2023-03-30T00:33:40Z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C2D9A542B7364F62BAB21A504E03DAAD</vt:lpwstr>
  </property>
</Properties>
</file>